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81167E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81167E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81167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81167E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81167E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81167E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81167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81167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8116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81167E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760CF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760CF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D760CF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760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D760CF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60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D760C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D760C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D760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D760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D760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0A6970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60C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0A69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0A6970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0A69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0A69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0A69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0A69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0A697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0A6970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3827"/>
        <w:gridCol w:w="709"/>
        <w:gridCol w:w="709"/>
        <w:gridCol w:w="1275"/>
        <w:gridCol w:w="1418"/>
      </w:tblGrid>
      <w:tr w:rsidR="00355F3A" w:rsidRPr="000A6970" w:rsidTr="0081167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0A697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0A6970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баллонорасширяемых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периферических</w:t>
            </w:r>
            <w:proofErr w:type="gram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стентов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нержавеющей стали,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баллонорасширяемый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матричный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Монтированный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системе доставки, совместимой с 6/7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0.035” проводником. Танталовые маркеры на каждом конце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Профиль - 0.079". Рабочая длина катетера 80 или 135 см. Нормальное давление в баллоне - 8 атм., максимальное - 12 атм. Диаметр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5; 6; 7; 8; 9; 10. Длина: 17, 27, 37, 57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303 500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1517500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Самораскрывающиеся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стент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системы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Нитиноловый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самораскрывающийся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Совместимый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0.035” проводником. Спиральное расположение ячеек. Танталовые маркеры на каждом конце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Ячейки открытого типа. Не расширяющиеся концы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Система защиты от "выпрыгивания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E.X.P.R.T. при раскрытии. Нулевое укорочение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Все размеры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совместимы с 6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интродьюсером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Профиль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0.079". Длина доставляющего катетера 120 см и 80 см. Гарантия производителя от механического перелома на установленный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2-х лет. Диаметр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5; 6; 7; 8. Длина: 20, 30, 40, 50, 60, 80, 100, 120, 150, 200мм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Баллонный катетер для ЧТА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Коаксиальный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двухпросветный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баллонный катетер для периферической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ангиопластики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системе доставки (OTW), совместимый с 0,035“ проводником. Специальный материал баллона сочетает в себе сверхтонкие стенки и устойчивость к царапинам. Гидрофильное (LFC) покрытие баллона и дистальной части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Шафт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катетера, </w:t>
            </w: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повышенной проходимостью и устойчивостью к перегибам, в сочетании с гибкостью, длинной 80 и 130 см. Совместим с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интродьюсером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5F–7F. 2 обжатых (с нулевым профилем) </w:t>
            </w:r>
            <w:proofErr w:type="spellStart"/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платино-иридиевых</w:t>
            </w:r>
            <w:proofErr w:type="spellEnd"/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маркера по краям баллона. Расчетное давление разрыва (RBP): 18 атм. (Ø 3мм), 14-18 атм. (Ø 4мм), 14-17 атм. (Ø 5мм), 12-17атм. (Ø 6мм), 12-16 атм. (Ø 7мм), 11-14атм. (Ø 8-9мм), 11атм. (Ø 10-12мм)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Ø </w:t>
            </w:r>
            <w:proofErr w:type="spellStart"/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афта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катетера 5F–6F. Размеры: Ø баллона (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3; 4; 5; 6; 7; 8; 9; 10; 12. Длина баллона (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20; 40; 60; 80; 120; 150; 200; 250; 300. Размеры по заявке получателя.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Опционный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вена-кава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фильтр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Опциональный фильтр из нержавеющей стали 316 LVM: с возможностью как постоянной, так и временной имплантации (без ограничения времени для удаления), конической формы с двумя разными уровнями. Верхний (фиксирующий) уровень, состоящий из шести коротких ножек, с дистальными концами в форме крючков, обеспечивающих активное закрепление и нижний (центрирующий) уровень, состоящий из трех длинных ножек, две из них с филированными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атравматичными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сосудов концами, а третья имеет на конце петлю, позволяющую проталкивать фильтр при имплантации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феморальным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подколенным доступом. Ножки разной длины для предотвращения их перекрещивания. 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Немагнитный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условно совместимый с МРТ до 3 Тесла. Отсутствие спаек при соединении ножек, уменьшающее риск излома. 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коррозии, обеспечивает минимальную турбулентность при кровотоке. Высота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Вена-Кава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Фильтра - 55 мм, вес - менее 1 грамма, диаметр ножек 0,3 мм. Фильтр подходит для полой вены размером в диаметре до 32 мм. (</w:t>
            </w:r>
            <w:proofErr w:type="spellStart"/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СЕ-маркировка</w:t>
            </w:r>
            <w:proofErr w:type="spellEnd"/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Установка возможна 4-мя доступами: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Югулярным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Феморальным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Брахиальным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Подколенным. Поставляется в развернутом виде в колбе с системой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Люер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избежание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нераскрытия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фильтра в ходе процедуры. Цветная маркировка для различных видов доступа. Компле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 вкл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ючает в себя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катетер-интродьюсер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7F с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рентгеноконтрастной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меткой, расширитель, доставляющий катетер, пункционную иглу 17G и J-образный проводник .035”, 9F, 150/180cm.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360500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Устройство для удаления и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репозиционирования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вена-кава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фильтра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удаления и / или переустановки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вена-кава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фильтра только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югулярным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доступом: С прямыми, изогнутыми щипцами или с регулируемым углом зоны сгиба. Комплектность: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Катетер-интродьюсер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9FR ID (внутренний диаметр)- полиэтилен HD. Расширитель 9F - полиэтилен HD. Катетер 7F - полиэтилен HD. Устройство 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щипцами Пункционная игла - нержавеющая сталь 304. J-образный проводник - нержавеющая сталь 304 с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тефлоновым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Диаметр проволоки лапок (</w:t>
            </w:r>
            <w:proofErr w:type="gram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</w:t>
            </w:r>
            <w:proofErr w:type="gram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0,4; материал - нержавеющая сталь 316 LVM*; Диаметр щипцов (мм) – 12-15; Длина щипцов (мм) – 24; Угол раскрытия (°) для регулируемого устройства- 140-145.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АРМИРОВАННЫЕ ИНТРОДЬЮСЕРЫ 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CL-07645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Капсула-интубатор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Arrow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армированная со встроенным боковым портом, без проводника, размер 6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длина  45 см.  Капсула имеет высокую гибкость и устойчивость к перегибам на всем протяжении, гидрофильный кончик с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высокорентгенконтрастным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маркером. Специальная армирующая нить капсулы позволяет  контролировать ее положение при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флюороскопии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не мешая четкой визуализации процесса прохождения катетера через просвет капсулы. В комплекте: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интродьюсер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 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дилятатор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трехходовой краник.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мультипрограммируемый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однокамерный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эндокардиальным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электродом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Имплантируемый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мультипрограммируемый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однокамерный частотно-адаптирующий электрокардиостимулятор SSIR с функцией активного контроля захвата в комплекте с принадлежностями. Режимы Стимуляции: VVIR; VVI; VVTR; VVT; VOOR; VOO; AAIR; AAI; AATR; AAT; AOOR; AOO;  Для диагностических целей присутствует режим полного выключения устройства на период выполняемого осмотра (OOO). Нижняя граница базового ритма: 30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Верхняя граница базового ритма: 200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Минимальное значение амплитуды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импульса: 0,2 В. Максимальное значение амплитуды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импульса: 7,5 В. Минимальная длительность импульса: 0,1 мс. Максимальная длительность импульса: 1,5 мс. Функция активного контроля захвата (КЗ): наличие. Безопасный запас амплитуды при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активном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КЗ: возможность установки точного значения безопасного запаса амплитуды при активном КЗ, минимальное значение 0,3 В. Возможность автоматического определения оптимальных значений чувствительности на постоянной основе. Минимальное значение чувствительности по предсердному каналу: 0,5 мВ. Максимальное значение чувствительности: 7,5 мВ. Сенсор частотной адаптации: акселерометр. Автоматическая настройка чувствительности сенсора и определение нулевого уровня активности пациента: наличие. Функция частотного гистерезиса: наличие трёх вариантов гистерезиса - Динамический гистерезис (гистерезисная частота следует за частотой ритма инициируемого сенсором); Повторный гистерезис (стимуляция на уровне гистерезисной частоты в течени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запрограммированного количество циклов), Поисковый гистерезис (поиск собственной активности - стимуляция на уровне гистерезисной частоты через каждый определенный интервал времени или после определенного количества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стимуляционных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комплексов). Максимальное значение гистерезисной частоты: 195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Ночная программа: наличие программируемого ночного ритма стимуляции. Стандарт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коннектора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электрода: IS-1. Конфигурация электрода: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монополярная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/ биполярная. Функция автоматического контроля электрода: наличие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подпорогового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импеданса электродов каждые 30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фазы собственного проведения или стимуляции. Функция автоматической проверки электрода: наличие - возможность автоматического изменения полярности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детекции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 стимуляции при выходе значений импеданса за рамки допустимых значений. Функция автоматической инициализации аппарата в момент имплантации: наличие, активация накопления статистики, выполнение автоматического определения полярности электрода. Расширенная статистика событий: частотные гистограммы; тренд эпизодов тахикардий; классификация предсердных и желудочковых экстрасистол; тренд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или R волны (краткосрочный и долгосрочный); тренд импеданса электрода; тренд амплитуды стимуляции желудочка/предсердия; тренд порога стимуляции желудочка/предсердия. Статистика датчика частотной адаптации: тренд частоты / сенсора; тренд активности сенсора; отчет активности. Возможность автоматической записи внутрисердечных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электрограмм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(ВЭГ) в память ЭКС: 4-х эпизодов длительностью до 10 с каждый. Запись ВЭГ с маркером в реальном времени. Проведение автоматических тестов определения чувствительности,  порогов стимуляции и сопротивления при контрольном осмотре пациента: наличие. Запись данных пациента в память ЭКС: наличие. Емкость батареи в начале срока службы: 1,3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/ч. Расчётный срок службы: более 15 лет при 100% стимуляции с базовой частотой 60 в мин; амплитудой стимулов 2,5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; длительностью импульса 0,4 мс; импедансом электрода 1000 Ом. Масса: 25 г. Толщина: 6,5 мм. Объём: 10 см3.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активной фиксации: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МРТ-совместимый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биполярный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стероидный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активной фиксации. Материал изоляционного слоя - полиуретан. Максимальный диаметр электрода не более 6.7 F. Длина электрода 60 см. Стероид -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дексаметазона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ацетат (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содержется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в резервуаре для постепенного высвобождения).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Межполюсное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Наличие рентгеновской метки положения спирали. Рекомендуемый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интродьюсер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7 F. Срок стерильности устройства от момента его выпуска не менее 18 месяцев.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>Комплект поставки: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>1. Однокамерный электрокардиостимулятор - 1 шт.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Эндокардиальный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60 см. – 1 шт.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Интродьюсер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7F  - 1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525 000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2625000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Имплантируемый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мультипрограммируемый</w:t>
            </w:r>
            <w:proofErr w:type="spell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двухкамерный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эндокардиальными</w:t>
            </w:r>
            <w:proofErr w:type="spell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электродами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Имплантируемый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мультипрограммируемый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двухкамерный частотно-адаптирующий электрокардиостимулятор DDDR с функцией активного контроля захвата по обоим каналам в комплекте с принадлежностями. Режимы Стимуляции: DDD(R); DDI(R); DVI(R); DDT; D00(R); VDD(R); VDI(R); VVI(R); VVT(R); V00(R); AAI(R); AAT(R); A00(R); Для диагностических целей присутствует режим полного выключения устройства на период выполняемого осмотра (OOO). Нижняя граница базового ритма (по обоим каналам): не более 30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Верхняя граница базового ритма (по обоим каналам): не менее 200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Минимальное значение амплитуды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импульса (в обоих каналах): не более 0,2 В. Максимальное значение амплитуды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импульса (в обоих каналах): не менее 7,5 В. Минимальная длительность импульса (по обоим каналам)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е более 0,1 мс. Максимальная длительность импульса (по обоим каналам): не менее 1,5 мс. Функция активного контроля захвата (КЗ): наличие по обоим каналам.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Безопасный запас амплитуды при активном КЗ: возможность установки точного значения безопасного запаса амплитуды при активном КЗ, минимальное значение не более 0,5 В. Возможность автоматического определения оптимальных значений чувствительности по обоим каналам на постоянной основе, в диапазоне от 0,5 до 7,5 мВ.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значение чувствительности по предсердному каналу: не более 0,1 мВ. Максимальное значение чувствительности по предсердному каналу: не менее 7,5 мВ. Возможность автоматического определения значения чувствительности по желудочковому каналу: наличие. Минимальное значение чувствительности по желудочковому каналу: не более 0,5 мВ. Максимальное значение чувствительности по желудочковому каналу: не менее 7,5 мВ. Максимальная частота отслеживания по предсердному каналу: 240 уд/мин. Максимальная частота отслеживания по желудочковому каналу: 200 уд/мин. Сенсор частотной адаптации: акселерометр. 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Функция автоматической подстройки амплитуды импульса. Функция контроля эффективности стимула. Функция автоматической настройки чувствительности. Функция авто-инициализации важных функций после имплантации. 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>Автоматическая настройка чувствительности сенсора и определение нулевого уровня активности пациента: наличие. Функция частотного гистерезиса: наличие минимум трёх вариантов гистерезиса - Динамический гистерезис (гистерезисная частота следует за частотой ритма инициируемого сенсором); Повторный гистерезис (стимуляция на уровне гистерезисной частоты в течени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запрограммированного количество циклов), Поисковый гистерезис (поиск собственной активности - стимуляция на уровне гистерезисной частоты через каждый определенный интервал времени или после определенного количества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стимуляционных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комплексов) - (необходимо  не только для уменьшения процента стимуляции, но и для лечения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вазо-вагальных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синкопальных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реакций). Минимальная предсердно-желудочковая задержка (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AV-delay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): не более 15 мс. Максимальная предсердно-желудочковая задержка (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AV-delay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): не менее 350 мс. Максимальная предсердно-желудочковая задержка (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AV-delay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) при AV-гистерезисе: не менее 450 мс. Ночная программа: наличие программируемого ночного ритма стимуляции. Стандарт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коннекторов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электродов (по обоим каналам): IS-1. Конфигурация электродов (по обоим каналам):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монополярная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/ биполярная. Функция автоматического контроля электродов: наличие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подпорогового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импеданса электродов не реже, чем через каждые 30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независимо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фазы собственного проведения или стимуляции. Функция автоматической проверки электродов: наличие - возможность автоматического изменения полярности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детекции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 стимуляции при выходе значений импеданса за рамки допустимых значений. Функция автоматической инициализации аппарата в момент имплантации: наличие, активация накопления статистики, выполнение автоматического определения полярности электрода. Действие при тахикардии: Переход режима от удара к удару в течение одного сердечного цикла, Переключение режима (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Switching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) с возможностью программирования чувствительности алгоритма переключения и с возможностью перехода от режима без частотной адаптации к частотно-адаптивному режиму и наоборот. Возможность автоматического изменения базового ритма во время переключения. Функция стабилизации ритма во время режима переключения: наличие. Динамическая AV задержка: возможность отдельного программирования для шести частотных диапазонов и раздельного программирования для спонтанных и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стимуляционных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событий. AV гистерезис: наличие трех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предустановок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работы динамического AV-гистерезиса, автоматический алгоритм минимизации желудочковой стимуляции за счет интеллектуального увеличения AV-задержки (вплоть до 450 мс), наличие повторного, поискового AV-гистерезиса и отрицательного для обеспечения постоянной желудочковой стимуляции. Расширенная статистика событий: гистограммы предсердной и желудочковой частоты; тренд эпизодов тахикардий; гистограмма предсердных тахикардий; тренд предсердных экстрасистол по отношению предсердному ритму и зависимость от интервала сцепления; классификация желудочковых экстрасистол по отношению к желудочковому ритму и в зависимости от интервала сцепления; тренд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и R волны (краткосрочный и долгосрочный);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>тренд импеданса A/V каналов; тренд амплитуды стимуляции желудочков;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тренд порога стимуляции желудочков. Статистика датчика частотной адаптации: тренд частоты / Сенсора; тренд активности сенсора; отчет активности. Дифференциация тахикардий по классам: наличие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радикардия, предсердная тахикардия, трепетание предсердий, фибрилляция предсердий. Возможность проведения процедуры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неинвазивного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ЭФИ: наличие с режимами учащающей стимуляции и программируемой стимуляции с количеством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экстрастимулов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– до 4-х. 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частота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сверхчастой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стимуляции: не более 125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Максимальная частота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сверхчастой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стимуляции: не менее 800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/мин. Возможность выполнения фоновой желудочковой стимуляции во время проведения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неинвазивного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ЭФИ с частотой до 200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Возможность автоматической записи внутрисердечных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электрограмм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(ВЭГ) в память ЭКС: не менее 4-х эпизодов длительностью до 10 с каждый.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Запись ВЭГ с маркером в реальном времени: наличие. Проведение автоматических тестов определения чувствительности,  порогов стимуляции и сопротивления по обоим каналам при контрольном осмотре пациента: наличие. Запись данных пациента в память ЭКС: наличие. Емкость батареи в начале срока службы: 1,3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/ч. Расчётный срок службы: 12 лет при 50% стимуляции в режиме DDD(R) с базовой частотой не менее 60 в мин; амплитудой предсердного и желудочкового стимулов не менее 2,5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; длительностью импульса по обоим каналам не менее 0,4 мс; импедансом обоих электродов не менее 500 Ом. Масса: не более 26 г. Толщина: не более 6,5 мм. Объём: не более 11 см3.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Стимуляционный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активной фиксации: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МРТ-совместимый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биполярный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стероидный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 активной фиксации. Материал изоляционного слоя - полиуретан. Максимальный диаметр электрода не более 6,7 F. Длины электрода 53 см., 60 см. Стероид -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дексаметазона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ацетат (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содержется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в резервуаре для постепенного высвобождения).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Межполюсное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 Рекомендуемый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интродьюсер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7 F.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>Комплект поставки: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>1. Двухкамерный электрокардиостимулятор - 1 шт.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Эндокардиальные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электроды 53 см и 60 см. – 2 шт.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Интродьюсеры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7F  - 2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695 000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3475000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Доставочная система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Доставочная система для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субселекции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венозной системы сердца с </w:t>
            </w:r>
            <w:proofErr w:type="spellStart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клапаном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Микрокатетер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многофункциональный</w:t>
            </w:r>
            <w:proofErr w:type="gram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для использования в коронарных и периферических сосудах. Размер гибкой дистальной части 20 см для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атравматичного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проведения в сосуды. Гидрофильное покрытие </w:t>
            </w:r>
            <w:proofErr w:type="gram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дистальных</w:t>
            </w:r>
            <w:proofErr w:type="gram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80см. Наличие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рентгеноконтрастной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платиновой метки, инкапсулированной в стенку катетера, расположенной на расстоянии 1.3 мм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проксимальнее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дистального конца катетера. Три формы кончика катетера - прямой, с 45-градусным изгибом и "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Swan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neck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". Три размера катетеров (проксимально/дистально): 2.8F/2.4F; 2.8F/2.8F и 2.9F/2.9F. Длина катетер 110, 130 и 150см. Внутренний диаметр катетеров: 0.020" (0.53мм) для катетеров 2.8F/2.4F; 0.024" (064мм) для катетеров 2.8F/28F; 0.027" (0.69мм) для катетеров 2.9F/2.9F. Совместимость с проводников 0,018"  для катетеров 2.8F/2.4F и 0,020" для катетеров 2.8F/2.8F и 2.9F/2.9F. Рекомендованный проводниковый катетер 0.040" (1.02 мм) для катетеров 2.8F/2.4</w:t>
            </w:r>
            <w:proofErr w:type="gram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</w:t>
            </w:r>
            <w:proofErr w:type="gram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 2.8F/2.8F; и 0.042" (1.0.7мм) для катетеров 2.9F/2.9F. Пропускная способность  для катетеров 2.8F/2.4F 3.41 мл/сек для катетеров длиной 110см, 2.61мл/сек для катетеров 130см, 1.71 мл/сек для катетеров длиной 150см. Пропускная способность  для катетеров 2.8F/2.8F 3.44 мл/сек для катетеров длиной 110см, 2.58мл/сек для катетеров 130см, 2.22 мл/сек для катетеров длиной 150см.  Пропускная способность  для катетеров 2.9F/2.9F 4.13 мл/сек для катетеров длиной 110см, 3.70мл/сек для катетеров 130см, 3.73 мл/сек для катетеров длиной 150см.  Трехслойная конструкция катетера. Наружный материал катетер - специальный полимер с изменяемыми свойствами, материал оплетки нейлон. Материал внутреннего слоя политетрафторэтилен (PTFE). Максимальное допустимое давление катетера 800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psi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Материал втулки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Grilamed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, устойчивый к воздействию жиров, растворителей и спиртосодержащих растворов. Цветовая кодировка основания катетера: 2.9F -темно-синяя, 2.8Fr - синяя,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900 000</w:t>
            </w:r>
          </w:p>
        </w:tc>
      </w:tr>
      <w:tr w:rsidR="006D6E04" w:rsidRPr="000A6970" w:rsidTr="00B8686D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6D6E04" w:rsidRPr="000A6970" w:rsidRDefault="006D6E04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E04" w:rsidRPr="000A6970" w:rsidRDefault="006D6E0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Катетер для маточных артерий </w:t>
            </w:r>
          </w:p>
        </w:tc>
        <w:tc>
          <w:tcPr>
            <w:tcW w:w="3827" w:type="dxa"/>
            <w:shd w:val="clear" w:color="auto" w:fill="auto"/>
          </w:tcPr>
          <w:p w:rsidR="006D6E04" w:rsidRPr="000A6970" w:rsidRDefault="006D6E04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Катетер маточный 5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Fr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Основные требования к товару. Назначение для проведения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эмболизации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маточных артерий. Основные функциональные требования,  технические характеристики  Материал катетера: полиуретан с покрытием двумя слоями эластомера полиамида, наличие стальной оплетки двойного плетения на всем протяжении катетера, за исключением дистальных 2 см.  Наличие наружного диаметра 5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Fr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. Наличие увеличенного внутреннего просвета  5Fr не менее 0,047”/1,20 мм. Совместимость с 0,038”/0,97 мм проводником. Максимальное давление не более 1000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psi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/6,895 </w:t>
            </w:r>
            <w:proofErr w:type="spellStart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kpa</w:t>
            </w:r>
            <w:proofErr w:type="spellEnd"/>
            <w:r w:rsidRPr="000A697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 Наличие внутреннего PTFE покрытия. Мягкий полипропиленовый кончик катетеров.  Наличие выбора длины катетеров 80см.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D6E04" w:rsidRPr="000A6970" w:rsidRDefault="006D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240000</w:t>
            </w:r>
          </w:p>
        </w:tc>
      </w:tr>
    </w:tbl>
    <w:p w:rsidR="008C3F51" w:rsidRPr="000A6970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0A6970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4" w:type="dxa"/>
        <w:tblInd w:w="250" w:type="dxa"/>
        <w:tblLook w:val="04A0"/>
      </w:tblPr>
      <w:tblGrid>
        <w:gridCol w:w="708"/>
        <w:gridCol w:w="4252"/>
        <w:gridCol w:w="5104"/>
      </w:tblGrid>
      <w:tr w:rsidR="00E761E2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0A697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0A6970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0A6970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FA1EAB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EAB" w:rsidRPr="000A6970" w:rsidRDefault="00A323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AB" w:rsidRPr="000A6970" w:rsidRDefault="006D6E04" w:rsidP="006D6E0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r w:rsidR="00AD5F99" w:rsidRPr="000A697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Med Co</w:t>
            </w: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» (Мед</w:t>
            </w:r>
            <w:proofErr w:type="gram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о)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EAB" w:rsidRPr="000A6970" w:rsidRDefault="005D3356" w:rsidP="006D6E0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D6E04"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у. Маркова, </w:t>
            </w:r>
            <w:proofErr w:type="spellStart"/>
            <w:r w:rsidR="006D6E04"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уг</w:t>
            </w:r>
            <w:proofErr w:type="spellEnd"/>
            <w:r w:rsidR="006D6E04"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. Ул. Пирогова 22/37, офис 303</w:t>
            </w:r>
          </w:p>
        </w:tc>
      </w:tr>
      <w:tr w:rsidR="007A6ECF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CF" w:rsidRPr="000A6970" w:rsidRDefault="007A6E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CF" w:rsidRPr="000A6970" w:rsidRDefault="00625DDC" w:rsidP="00E807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Asia Med Engineering</w:t>
            </w: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F" w:rsidRPr="000A6970" w:rsidRDefault="001110DF" w:rsidP="00625DD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Алматы</w:t>
            </w:r>
            <w:proofErr w:type="spellEnd"/>
            <w:proofErr w:type="gram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25DDC"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="00625DDC"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Тимирязева,42 корпус 23, офис 101</w:t>
            </w:r>
          </w:p>
        </w:tc>
      </w:tr>
      <w:tr w:rsidR="007A6ECF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CF" w:rsidRPr="000A6970" w:rsidRDefault="007A6E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CF" w:rsidRPr="000A6970" w:rsidRDefault="00625DDC" w:rsidP="00625DDC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«АЛЬФАТИМ»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F" w:rsidRPr="000A6970" w:rsidRDefault="00625DDC" w:rsidP="00625DDC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стана, ул.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Жансугурова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 8/1, офис 101</w:t>
            </w:r>
          </w:p>
        </w:tc>
      </w:tr>
      <w:tr w:rsidR="007A6ECF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CF" w:rsidRPr="000A6970" w:rsidRDefault="007A6ECF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CF" w:rsidRPr="000A6970" w:rsidRDefault="00625DDC" w:rsidP="00625DDC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ТОО "SATCOR"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ECF" w:rsidRPr="000A6970" w:rsidRDefault="00625DDC" w:rsidP="00625DDC">
            <w:pPr>
              <w:ind w:left="175" w:hanging="17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Сатпаева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, дом № 30А/3, к.142</w:t>
            </w:r>
          </w:p>
        </w:tc>
      </w:tr>
      <w:tr w:rsidR="00625DDC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DC" w:rsidRPr="000A6970" w:rsidRDefault="00625DD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C" w:rsidRPr="000A6970" w:rsidRDefault="00625DDC" w:rsidP="00625DDC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2C169F" w:rsidRPr="000A6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AB-Service Company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DC" w:rsidRPr="000A6970" w:rsidRDefault="002C169F" w:rsidP="00D760CF">
            <w:pPr>
              <w:tabs>
                <w:tab w:val="left" w:pos="3110"/>
              </w:tabs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Г. Астана, ул. Петрова 23-148</w:t>
            </w:r>
            <w:r w:rsidR="00D760CF" w:rsidRPr="000A69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25DDC" w:rsidRPr="000A6970" w:rsidTr="00B552C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DDC" w:rsidRPr="000A6970" w:rsidRDefault="00625DD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DDC" w:rsidRPr="000A6970" w:rsidRDefault="00C6652D" w:rsidP="00625DDC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TeDeCo</w:t>
            </w:r>
            <w:proofErr w:type="spellEnd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DDC" w:rsidRPr="000A6970" w:rsidRDefault="00C6652D" w:rsidP="00625DDC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Г. Астана. Ул. Мустафина, 21/5,30</w:t>
            </w:r>
          </w:p>
        </w:tc>
      </w:tr>
    </w:tbl>
    <w:p w:rsidR="00430D46" w:rsidRPr="000A6970" w:rsidRDefault="00430D4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0A69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0A697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0A69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287" w:rsidRPr="000A6970">
        <w:rPr>
          <w:rFonts w:ascii="Times New Roman" w:hAnsi="Times New Roman" w:cs="Times New Roman"/>
          <w:bCs/>
          <w:sz w:val="20"/>
          <w:szCs w:val="20"/>
        </w:rPr>
        <w:t>ТОО «</w:t>
      </w:r>
      <w:r w:rsidR="009B2287" w:rsidRPr="000A6970">
        <w:rPr>
          <w:rFonts w:ascii="Times New Roman" w:hAnsi="Times New Roman" w:cs="Times New Roman"/>
          <w:bCs/>
          <w:sz w:val="20"/>
          <w:szCs w:val="20"/>
          <w:lang w:val="en-US"/>
        </w:rPr>
        <w:t>Med</w:t>
      </w:r>
      <w:r w:rsidR="009B2287" w:rsidRPr="000A69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287" w:rsidRPr="000A6970">
        <w:rPr>
          <w:rFonts w:ascii="Times New Roman" w:hAnsi="Times New Roman" w:cs="Times New Roman"/>
          <w:bCs/>
          <w:sz w:val="20"/>
          <w:szCs w:val="20"/>
          <w:lang w:val="en-US"/>
        </w:rPr>
        <w:t>Co</w:t>
      </w:r>
      <w:r w:rsidR="009B2287" w:rsidRPr="000A6970">
        <w:rPr>
          <w:rFonts w:ascii="Times New Roman" w:hAnsi="Times New Roman" w:cs="Times New Roman"/>
          <w:bCs/>
          <w:sz w:val="20"/>
          <w:szCs w:val="20"/>
        </w:rPr>
        <w:t>» (Мед</w:t>
      </w:r>
      <w:proofErr w:type="gramStart"/>
      <w:r w:rsidR="009B2287" w:rsidRPr="000A6970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9B2287" w:rsidRPr="000A6970">
        <w:rPr>
          <w:rFonts w:ascii="Times New Roman" w:hAnsi="Times New Roman" w:cs="Times New Roman"/>
          <w:bCs/>
          <w:sz w:val="20"/>
          <w:szCs w:val="20"/>
        </w:rPr>
        <w:t xml:space="preserve">о), 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</w:rPr>
        <w:t>ТОО «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  <w:lang w:val="en-US"/>
        </w:rPr>
        <w:t>Asia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  <w:lang w:val="en-US"/>
        </w:rPr>
        <w:t>Med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  <w:lang w:val="en-US"/>
        </w:rPr>
        <w:t>Engineering</w:t>
      </w:r>
      <w:r w:rsidR="009B2287" w:rsidRPr="000A6970">
        <w:rPr>
          <w:rFonts w:ascii="Times New Roman" w:hAnsi="Times New Roman" w:cs="Times New Roman"/>
          <w:color w:val="000000"/>
          <w:sz w:val="20"/>
          <w:szCs w:val="20"/>
        </w:rPr>
        <w:t xml:space="preserve">», </w:t>
      </w:r>
      <w:r w:rsidR="009B2287" w:rsidRPr="000A6970">
        <w:rPr>
          <w:rFonts w:ascii="Times New Roman" w:hAnsi="Times New Roman" w:cs="Times New Roman"/>
          <w:sz w:val="20"/>
          <w:szCs w:val="20"/>
          <w:lang w:val="kk-KZ"/>
        </w:rPr>
        <w:t xml:space="preserve">ТОО </w:t>
      </w:r>
      <w:r w:rsidR="009B2287" w:rsidRPr="000A6970">
        <w:rPr>
          <w:rFonts w:ascii="Times New Roman" w:hAnsi="Times New Roman" w:cs="Times New Roman"/>
          <w:sz w:val="20"/>
          <w:szCs w:val="20"/>
        </w:rPr>
        <w:t>«АЛЬФАТИМ», ТОО "SATCOR", ТОО «</w:t>
      </w:r>
      <w:r w:rsidR="009B2287" w:rsidRPr="000A697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9B2287" w:rsidRPr="000A6970">
        <w:rPr>
          <w:rFonts w:ascii="Times New Roman" w:hAnsi="Times New Roman" w:cs="Times New Roman"/>
          <w:sz w:val="20"/>
          <w:szCs w:val="20"/>
        </w:rPr>
        <w:t>-</w:t>
      </w:r>
      <w:r w:rsidR="009B2287" w:rsidRPr="000A6970">
        <w:rPr>
          <w:rFonts w:ascii="Times New Roman" w:hAnsi="Times New Roman" w:cs="Times New Roman"/>
          <w:sz w:val="20"/>
          <w:szCs w:val="20"/>
          <w:lang w:val="en-US"/>
        </w:rPr>
        <w:t>Service</w:t>
      </w:r>
      <w:r w:rsidR="009B2287" w:rsidRPr="000A6970">
        <w:rPr>
          <w:rFonts w:ascii="Times New Roman" w:hAnsi="Times New Roman" w:cs="Times New Roman"/>
          <w:sz w:val="20"/>
          <w:szCs w:val="20"/>
        </w:rPr>
        <w:t xml:space="preserve"> </w:t>
      </w:r>
      <w:r w:rsidR="009B2287" w:rsidRPr="000A6970">
        <w:rPr>
          <w:rFonts w:ascii="Times New Roman" w:hAnsi="Times New Roman" w:cs="Times New Roman"/>
          <w:sz w:val="20"/>
          <w:szCs w:val="20"/>
          <w:lang w:val="en-US"/>
        </w:rPr>
        <w:t>Company</w:t>
      </w:r>
      <w:r w:rsidR="009B2287" w:rsidRPr="000A6970">
        <w:rPr>
          <w:rFonts w:ascii="Times New Roman" w:hAnsi="Times New Roman" w:cs="Times New Roman"/>
          <w:sz w:val="20"/>
          <w:szCs w:val="20"/>
        </w:rPr>
        <w:t>», ТОО «</w:t>
      </w:r>
      <w:proofErr w:type="spellStart"/>
      <w:r w:rsidR="009B2287" w:rsidRPr="000A6970">
        <w:rPr>
          <w:rFonts w:ascii="Times New Roman" w:hAnsi="Times New Roman" w:cs="Times New Roman"/>
          <w:sz w:val="20"/>
          <w:szCs w:val="20"/>
          <w:lang w:val="en-US"/>
        </w:rPr>
        <w:t>TeDeCo</w:t>
      </w:r>
      <w:proofErr w:type="spellEnd"/>
      <w:r w:rsidR="009B2287" w:rsidRPr="000A6970">
        <w:rPr>
          <w:rFonts w:ascii="Times New Roman" w:hAnsi="Times New Roman" w:cs="Times New Roman"/>
          <w:sz w:val="20"/>
          <w:szCs w:val="20"/>
        </w:rPr>
        <w:t>».</w:t>
      </w:r>
      <w:r w:rsidR="00BB33FC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D6769F" w:rsidRPr="000A6970" w:rsidRDefault="00D6769F" w:rsidP="00D6769F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769F" w:rsidRPr="000A6970" w:rsidRDefault="008C3396" w:rsidP="00272FD3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п. 110 Правил организации и проведения закупа лот №</w:t>
      </w:r>
      <w:r w:rsidR="002E1559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6, №9 </w:t>
      </w: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не состоялся, не представлены ценовые предложения. </w:t>
      </w:r>
    </w:p>
    <w:p w:rsidR="00CD1ECB" w:rsidRPr="000A6970" w:rsidRDefault="00CD1ECB" w:rsidP="00272FD3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0A6970" w:rsidRDefault="00154787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F44E6C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277" w:type="dxa"/>
        <w:tblInd w:w="534" w:type="dxa"/>
        <w:tblLook w:val="04A0"/>
      </w:tblPr>
      <w:tblGrid>
        <w:gridCol w:w="617"/>
        <w:gridCol w:w="2640"/>
        <w:gridCol w:w="1001"/>
        <w:gridCol w:w="711"/>
        <w:gridCol w:w="1319"/>
        <w:gridCol w:w="1714"/>
        <w:gridCol w:w="2275"/>
      </w:tblGrid>
      <w:tr w:rsidR="00BA2037" w:rsidRPr="000A6970" w:rsidTr="000A6970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0A6970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E1559" w:rsidRPr="000A6970" w:rsidTr="000A6970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баллонорасширяемых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периферических</w:t>
            </w:r>
            <w:proofErr w:type="gram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стентов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AB-Service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Company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Самораскрывающиеся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стент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системы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340 000,00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AB-Service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Company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Баллонный катетер для ЧТА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AB-Service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Company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Опционный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вена-кава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фильтр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AB-Service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Company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Устройство для удаления и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репозиционирования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вена-кава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фильтра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AB-Service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Company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мультипрограммируемый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однокамерный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эндокардиальным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электродом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524 800,00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2 624 000,00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Asia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Engineering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Имплантируемый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мультипрограммируемый</w:t>
            </w:r>
            <w:proofErr w:type="spell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двухкамерный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>эндокардиальными</w:t>
            </w:r>
            <w:proofErr w:type="spellEnd"/>
            <w:r w:rsidRPr="000A69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электродами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694 800,00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3 474 000,00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Asia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Med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Engineering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Микрокатетер</w:t>
            </w:r>
            <w:proofErr w:type="spellEnd"/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179 900,00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899 500,00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"SATCOR"</w:t>
            </w:r>
          </w:p>
        </w:tc>
      </w:tr>
      <w:tr w:rsidR="002E1559" w:rsidRPr="000A6970" w:rsidTr="000A6970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Катетер для маточных артерий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sz w:val="20"/>
                <w:szCs w:val="20"/>
              </w:rPr>
              <w:t>15 900,00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59" w:rsidRPr="000A6970" w:rsidRDefault="002E15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238 500,00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59" w:rsidRPr="000A6970" w:rsidRDefault="002E155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697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ТОО "SATCOR"</w:t>
            </w:r>
          </w:p>
        </w:tc>
      </w:tr>
    </w:tbl>
    <w:p w:rsidR="00362711" w:rsidRPr="000A6970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31769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</w:t>
      </w:r>
    </w:p>
    <w:p w:rsidR="00EF5EFF" w:rsidRPr="000A6970" w:rsidRDefault="00C16FCD" w:rsidP="000A697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A1BB6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C31769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0A697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ТОО «</w:t>
      </w:r>
      <w:proofErr w:type="spellStart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AB-Service</w:t>
      </w:r>
      <w:proofErr w:type="spellEnd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Company</w:t>
      </w:r>
      <w:proofErr w:type="spellEnd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0E6554" w:rsidRPr="000A69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D760CF" w:rsidRPr="000A6970">
        <w:rPr>
          <w:rFonts w:ascii="Times New Roman" w:hAnsi="Times New Roman" w:cs="Times New Roman"/>
          <w:sz w:val="20"/>
          <w:szCs w:val="20"/>
        </w:rPr>
        <w:t>Г. Астана, ул. Петрова 23-148</w:t>
      </w:r>
      <w:r w:rsidR="00EF5EFF" w:rsidRPr="000A6970">
        <w:rPr>
          <w:rFonts w:ascii="Times New Roman" w:hAnsi="Times New Roman" w:cs="Times New Roman"/>
          <w:bCs/>
          <w:sz w:val="20"/>
          <w:szCs w:val="20"/>
        </w:rPr>
        <w:t>)</w:t>
      </w:r>
      <w:r w:rsidR="00D760CF" w:rsidRPr="000A69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0A69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032B88" w:rsidRPr="000A6970">
        <w:rPr>
          <w:rFonts w:ascii="Times New Roman" w:hAnsi="Times New Roman" w:cs="Times New Roman"/>
          <w:sz w:val="20"/>
          <w:szCs w:val="20"/>
        </w:rPr>
        <w:t>7 000 000,00 (</w:t>
      </w:r>
      <w:r w:rsidR="00032B88" w:rsidRPr="000A6970">
        <w:rPr>
          <w:rFonts w:ascii="Times New Roman" w:hAnsi="Times New Roman" w:cs="Times New Roman"/>
          <w:sz w:val="20"/>
          <w:szCs w:val="20"/>
          <w:lang w:val="kk-KZ"/>
        </w:rPr>
        <w:t>семь миллионов</w:t>
      </w:r>
      <w:r w:rsidR="00032B88" w:rsidRPr="000A6970">
        <w:rPr>
          <w:rFonts w:ascii="Times New Roman" w:hAnsi="Times New Roman" w:cs="Times New Roman"/>
          <w:sz w:val="20"/>
          <w:szCs w:val="20"/>
        </w:rPr>
        <w:t>) тенге</w:t>
      </w:r>
      <w:r w:rsidR="00032B88" w:rsidRPr="000A697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B818F4" w:rsidRPr="000A6970">
        <w:rPr>
          <w:rFonts w:ascii="Times New Roman" w:hAnsi="Times New Roman" w:cs="Times New Roman"/>
          <w:sz w:val="20"/>
          <w:szCs w:val="20"/>
        </w:rPr>
        <w:t>,</w:t>
      </w:r>
      <w:r w:rsidR="00A722AF" w:rsidRPr="000A6970">
        <w:rPr>
          <w:rFonts w:ascii="Times New Roman" w:hAnsi="Times New Roman" w:cs="Times New Roman"/>
          <w:sz w:val="20"/>
          <w:szCs w:val="20"/>
        </w:rPr>
        <w:t xml:space="preserve"> </w:t>
      </w:r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ТОО «</w:t>
      </w:r>
      <w:proofErr w:type="spellStart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Asia</w:t>
      </w:r>
      <w:proofErr w:type="spellEnd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Med</w:t>
      </w:r>
      <w:proofErr w:type="spellEnd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Engineering</w:t>
      </w:r>
      <w:proofErr w:type="spellEnd"/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="00CC468B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D760CF" w:rsidRPr="000A6970">
        <w:rPr>
          <w:rFonts w:ascii="Times New Roman" w:hAnsi="Times New Roman" w:cs="Times New Roman"/>
          <w:bCs/>
          <w:sz w:val="20"/>
          <w:szCs w:val="20"/>
        </w:rPr>
        <w:t xml:space="preserve">Г. </w:t>
      </w:r>
      <w:proofErr w:type="spellStart"/>
      <w:r w:rsidR="00D760CF" w:rsidRPr="000A6970">
        <w:rPr>
          <w:rFonts w:ascii="Times New Roman" w:hAnsi="Times New Roman" w:cs="Times New Roman"/>
          <w:bCs/>
          <w:sz w:val="20"/>
          <w:szCs w:val="20"/>
        </w:rPr>
        <w:t>Алматы</w:t>
      </w:r>
      <w:proofErr w:type="spellEnd"/>
      <w:r w:rsidR="00D760CF" w:rsidRPr="000A6970">
        <w:rPr>
          <w:rFonts w:ascii="Times New Roman" w:hAnsi="Times New Roman" w:cs="Times New Roman"/>
          <w:bCs/>
          <w:sz w:val="20"/>
          <w:szCs w:val="20"/>
        </w:rPr>
        <w:t xml:space="preserve"> , ул. </w:t>
      </w:r>
      <w:r w:rsidR="000A6970">
        <w:rPr>
          <w:rFonts w:ascii="Times New Roman" w:hAnsi="Times New Roman" w:cs="Times New Roman"/>
          <w:bCs/>
          <w:sz w:val="20"/>
          <w:szCs w:val="20"/>
          <w:lang w:val="kk-KZ"/>
        </w:rPr>
        <w:t>Т</w:t>
      </w:r>
      <w:proofErr w:type="spellStart"/>
      <w:r w:rsidR="00D760CF" w:rsidRPr="000A6970">
        <w:rPr>
          <w:rFonts w:ascii="Times New Roman" w:hAnsi="Times New Roman" w:cs="Times New Roman"/>
          <w:bCs/>
          <w:sz w:val="20"/>
          <w:szCs w:val="20"/>
        </w:rPr>
        <w:t>имирязева</w:t>
      </w:r>
      <w:proofErr w:type="spellEnd"/>
      <w:r w:rsidR="00D760CF" w:rsidRPr="000A6970">
        <w:rPr>
          <w:rFonts w:ascii="Times New Roman" w:hAnsi="Times New Roman" w:cs="Times New Roman"/>
          <w:bCs/>
          <w:sz w:val="20"/>
          <w:szCs w:val="20"/>
        </w:rPr>
        <w:t>,</w:t>
      </w:r>
      <w:r w:rsidR="005244CE" w:rsidRPr="000A6970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D760CF" w:rsidRPr="000A6970">
        <w:rPr>
          <w:rFonts w:ascii="Times New Roman" w:hAnsi="Times New Roman" w:cs="Times New Roman"/>
          <w:bCs/>
          <w:sz w:val="20"/>
          <w:szCs w:val="20"/>
        </w:rPr>
        <w:t>42 корпус 23, офис 101</w:t>
      </w:r>
      <w:r w:rsidR="00CC468B" w:rsidRPr="000A697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C468B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D760CF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0A6970" w:rsidRPr="000A6970">
        <w:rPr>
          <w:rFonts w:ascii="Times New Roman" w:hAnsi="Times New Roman" w:cs="Times New Roman"/>
          <w:sz w:val="20"/>
          <w:szCs w:val="20"/>
          <w:lang w:val="kk-KZ"/>
        </w:rPr>
        <w:t xml:space="preserve">6 098 000,00 </w:t>
      </w:r>
      <w:r w:rsidR="00AA3E80" w:rsidRPr="000A6970">
        <w:rPr>
          <w:rFonts w:ascii="Times New Roman" w:hAnsi="Times New Roman" w:cs="Times New Roman"/>
          <w:sz w:val="20"/>
          <w:szCs w:val="20"/>
        </w:rPr>
        <w:t xml:space="preserve"> (</w:t>
      </w:r>
      <w:r w:rsidR="000A6970" w:rsidRPr="000A6970">
        <w:rPr>
          <w:rFonts w:ascii="Times New Roman" w:hAnsi="Times New Roman" w:cs="Times New Roman"/>
          <w:sz w:val="20"/>
          <w:szCs w:val="20"/>
          <w:lang w:val="kk-KZ"/>
        </w:rPr>
        <w:t>шесть миллионов девяноста восемь тысяч</w:t>
      </w:r>
      <w:r w:rsidR="00AA3E80" w:rsidRPr="000A6970">
        <w:rPr>
          <w:rFonts w:ascii="Times New Roman" w:hAnsi="Times New Roman" w:cs="Times New Roman"/>
          <w:sz w:val="20"/>
          <w:szCs w:val="20"/>
        </w:rPr>
        <w:t>) тенге</w:t>
      </w:r>
      <w:r w:rsidR="00CC468B" w:rsidRPr="000A6970">
        <w:rPr>
          <w:rFonts w:ascii="Times New Roman" w:hAnsi="Times New Roman" w:cs="Times New Roman"/>
          <w:sz w:val="20"/>
          <w:szCs w:val="20"/>
        </w:rPr>
        <w:t>,</w:t>
      </w:r>
      <w:r w:rsidR="00A722AF" w:rsidRPr="000A6970">
        <w:rPr>
          <w:rFonts w:ascii="Times New Roman" w:hAnsi="Times New Roman" w:cs="Times New Roman"/>
          <w:sz w:val="20"/>
          <w:szCs w:val="20"/>
        </w:rPr>
        <w:t xml:space="preserve"> </w:t>
      </w:r>
      <w:r w:rsidR="00D760CF" w:rsidRPr="000A6970">
        <w:rPr>
          <w:rFonts w:ascii="Times New Roman" w:hAnsi="Times New Roman" w:cs="Times New Roman"/>
          <w:bCs/>
          <w:color w:val="000000"/>
          <w:sz w:val="20"/>
          <w:szCs w:val="20"/>
        </w:rPr>
        <w:t>ТОО "SATCOR"</w:t>
      </w:r>
      <w:r w:rsidR="00CC468B" w:rsidRPr="000A697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="00D760CF" w:rsidRPr="000A697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D760CF" w:rsidRPr="000A6970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D760CF" w:rsidRPr="000A6970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D760CF" w:rsidRPr="000A697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760CF" w:rsidRPr="000A6970">
        <w:rPr>
          <w:rFonts w:ascii="Times New Roman" w:hAnsi="Times New Roman" w:cs="Times New Roman"/>
          <w:sz w:val="20"/>
          <w:szCs w:val="20"/>
        </w:rPr>
        <w:t>Сатпаева</w:t>
      </w:r>
      <w:proofErr w:type="spellEnd"/>
      <w:r w:rsidR="00D760CF" w:rsidRPr="000A6970">
        <w:rPr>
          <w:rFonts w:ascii="Times New Roman" w:hAnsi="Times New Roman" w:cs="Times New Roman"/>
          <w:sz w:val="20"/>
          <w:szCs w:val="20"/>
        </w:rPr>
        <w:t>, дом № 30А/3, к.142</w:t>
      </w:r>
      <w:r w:rsidR="00CC468B" w:rsidRPr="000A6970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CC468B" w:rsidRPr="000A697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общую сумму </w:t>
      </w:r>
      <w:r w:rsidR="00B8686D" w:rsidRPr="000A6970">
        <w:rPr>
          <w:rFonts w:ascii="Times New Roman" w:hAnsi="Times New Roman" w:cs="Times New Roman"/>
          <w:sz w:val="20"/>
          <w:szCs w:val="20"/>
        </w:rPr>
        <w:t>1 138 000,00 (</w:t>
      </w:r>
      <w:r w:rsidR="00B8686D" w:rsidRPr="000A6970">
        <w:rPr>
          <w:rFonts w:ascii="Times New Roman" w:hAnsi="Times New Roman" w:cs="Times New Roman"/>
          <w:sz w:val="20"/>
          <w:szCs w:val="20"/>
          <w:lang w:val="kk-KZ"/>
        </w:rPr>
        <w:t>один миллион сто тридцать восемь тысяч</w:t>
      </w:r>
      <w:r w:rsidR="00B8686D" w:rsidRPr="000A6970">
        <w:rPr>
          <w:rFonts w:ascii="Times New Roman" w:hAnsi="Times New Roman" w:cs="Times New Roman"/>
          <w:sz w:val="20"/>
          <w:szCs w:val="20"/>
        </w:rPr>
        <w:t>) тенге</w:t>
      </w:r>
      <w:r w:rsidR="00AA3E80" w:rsidRPr="000A6970">
        <w:rPr>
          <w:rFonts w:ascii="Times New Roman" w:hAnsi="Times New Roman" w:cs="Times New Roman"/>
          <w:sz w:val="20"/>
          <w:szCs w:val="20"/>
        </w:rPr>
        <w:t>.</w:t>
      </w:r>
    </w:p>
    <w:p w:rsidR="00B96825" w:rsidRPr="000A697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0A6970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0A697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0A697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A6970">
        <w:rPr>
          <w:rFonts w:ascii="Times New Roman" w:eastAsia="Times New Roman" w:hAnsi="Times New Roman" w:cs="Times New Roman"/>
          <w:i/>
          <w:sz w:val="18"/>
          <w:szCs w:val="18"/>
        </w:rPr>
        <w:t>Исполнитель:</w:t>
      </w:r>
    </w:p>
    <w:p w:rsidR="00BE2853" w:rsidRPr="000A6970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r w:rsidRPr="000A6970">
        <w:rPr>
          <w:rFonts w:ascii="Times New Roman" w:eastAsia="Times New Roman" w:hAnsi="Times New Roman" w:cs="Times New Roman"/>
          <w:i/>
          <w:sz w:val="18"/>
          <w:szCs w:val="18"/>
        </w:rPr>
        <w:t>Рахымбердиева</w:t>
      </w:r>
      <w:proofErr w:type="spellEnd"/>
      <w:r w:rsidRPr="000A6970">
        <w:rPr>
          <w:rFonts w:ascii="Times New Roman" w:eastAsia="Times New Roman" w:hAnsi="Times New Roman" w:cs="Times New Roman"/>
          <w:i/>
          <w:sz w:val="18"/>
          <w:szCs w:val="18"/>
        </w:rPr>
        <w:t xml:space="preserve"> С.К.</w:t>
      </w:r>
    </w:p>
    <w:p w:rsidR="00BE2853" w:rsidRPr="000A6970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E2853" w:rsidRPr="000A6970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80E51" w:rsidRPr="000A69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B80E51" w:rsidRPr="000A6970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A69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0A6970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0A697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0A6970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0A6970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DB2"/>
    <w:rsid w:val="00016981"/>
    <w:rsid w:val="00017D82"/>
    <w:rsid w:val="00025855"/>
    <w:rsid w:val="00032B88"/>
    <w:rsid w:val="000375E9"/>
    <w:rsid w:val="000430C1"/>
    <w:rsid w:val="00047430"/>
    <w:rsid w:val="0006040D"/>
    <w:rsid w:val="00064486"/>
    <w:rsid w:val="00085CF8"/>
    <w:rsid w:val="000A0178"/>
    <w:rsid w:val="000A48B0"/>
    <w:rsid w:val="000A6970"/>
    <w:rsid w:val="000B1527"/>
    <w:rsid w:val="000C3747"/>
    <w:rsid w:val="000C4D40"/>
    <w:rsid w:val="000E2FF2"/>
    <w:rsid w:val="000E6554"/>
    <w:rsid w:val="000E65B9"/>
    <w:rsid w:val="000F1142"/>
    <w:rsid w:val="000F3984"/>
    <w:rsid w:val="000F53D3"/>
    <w:rsid w:val="001110DF"/>
    <w:rsid w:val="0011739A"/>
    <w:rsid w:val="00122A74"/>
    <w:rsid w:val="001302BB"/>
    <w:rsid w:val="0013629A"/>
    <w:rsid w:val="001510B5"/>
    <w:rsid w:val="00154787"/>
    <w:rsid w:val="001562D6"/>
    <w:rsid w:val="0016260C"/>
    <w:rsid w:val="00163BCF"/>
    <w:rsid w:val="00165520"/>
    <w:rsid w:val="00167145"/>
    <w:rsid w:val="00195334"/>
    <w:rsid w:val="0019535A"/>
    <w:rsid w:val="001B1289"/>
    <w:rsid w:val="001C1BC0"/>
    <w:rsid w:val="001C2E35"/>
    <w:rsid w:val="001E47AA"/>
    <w:rsid w:val="001F0F7E"/>
    <w:rsid w:val="0020201E"/>
    <w:rsid w:val="00226CDF"/>
    <w:rsid w:val="002327CE"/>
    <w:rsid w:val="00246237"/>
    <w:rsid w:val="00261DE4"/>
    <w:rsid w:val="002642C1"/>
    <w:rsid w:val="002706AE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169F"/>
    <w:rsid w:val="002C28FC"/>
    <w:rsid w:val="002C4B58"/>
    <w:rsid w:val="002E1559"/>
    <w:rsid w:val="002E2E1D"/>
    <w:rsid w:val="002E7E84"/>
    <w:rsid w:val="002F3655"/>
    <w:rsid w:val="00322911"/>
    <w:rsid w:val="003231D3"/>
    <w:rsid w:val="00355F3A"/>
    <w:rsid w:val="003575C3"/>
    <w:rsid w:val="00360E77"/>
    <w:rsid w:val="00362711"/>
    <w:rsid w:val="00364D54"/>
    <w:rsid w:val="00376571"/>
    <w:rsid w:val="0038394C"/>
    <w:rsid w:val="0039341A"/>
    <w:rsid w:val="003979CE"/>
    <w:rsid w:val="003A4F12"/>
    <w:rsid w:val="003A6BC6"/>
    <w:rsid w:val="003C1570"/>
    <w:rsid w:val="003D45FE"/>
    <w:rsid w:val="003F135D"/>
    <w:rsid w:val="00400F43"/>
    <w:rsid w:val="004070FF"/>
    <w:rsid w:val="00407F24"/>
    <w:rsid w:val="004271D0"/>
    <w:rsid w:val="00430D46"/>
    <w:rsid w:val="0044189B"/>
    <w:rsid w:val="004563EF"/>
    <w:rsid w:val="0046676D"/>
    <w:rsid w:val="004704F9"/>
    <w:rsid w:val="00471173"/>
    <w:rsid w:val="00491126"/>
    <w:rsid w:val="004940AD"/>
    <w:rsid w:val="004A61D2"/>
    <w:rsid w:val="004A62C0"/>
    <w:rsid w:val="004B490D"/>
    <w:rsid w:val="004C33D3"/>
    <w:rsid w:val="004E033C"/>
    <w:rsid w:val="004E3CEB"/>
    <w:rsid w:val="004F77DC"/>
    <w:rsid w:val="005024FD"/>
    <w:rsid w:val="0051445C"/>
    <w:rsid w:val="005244CE"/>
    <w:rsid w:val="00536962"/>
    <w:rsid w:val="00537BD8"/>
    <w:rsid w:val="00547588"/>
    <w:rsid w:val="005549B2"/>
    <w:rsid w:val="00577915"/>
    <w:rsid w:val="0059765E"/>
    <w:rsid w:val="005B1027"/>
    <w:rsid w:val="005B21D2"/>
    <w:rsid w:val="005B2B47"/>
    <w:rsid w:val="005D3356"/>
    <w:rsid w:val="005F39CA"/>
    <w:rsid w:val="005F3A68"/>
    <w:rsid w:val="005F5AA3"/>
    <w:rsid w:val="00625920"/>
    <w:rsid w:val="00625DDC"/>
    <w:rsid w:val="00626E37"/>
    <w:rsid w:val="00645149"/>
    <w:rsid w:val="00657D4E"/>
    <w:rsid w:val="00662AA2"/>
    <w:rsid w:val="006705C2"/>
    <w:rsid w:val="00673F89"/>
    <w:rsid w:val="0068331D"/>
    <w:rsid w:val="00685A09"/>
    <w:rsid w:val="00691A85"/>
    <w:rsid w:val="006C09D6"/>
    <w:rsid w:val="006C5816"/>
    <w:rsid w:val="006D6E04"/>
    <w:rsid w:val="006E6C59"/>
    <w:rsid w:val="00721D1F"/>
    <w:rsid w:val="007220D1"/>
    <w:rsid w:val="00725225"/>
    <w:rsid w:val="007369F8"/>
    <w:rsid w:val="00756971"/>
    <w:rsid w:val="00794893"/>
    <w:rsid w:val="007A00D9"/>
    <w:rsid w:val="007A3DFE"/>
    <w:rsid w:val="007A6ECF"/>
    <w:rsid w:val="007C032B"/>
    <w:rsid w:val="007C42DE"/>
    <w:rsid w:val="007D7BC2"/>
    <w:rsid w:val="007E13CB"/>
    <w:rsid w:val="007E1FA2"/>
    <w:rsid w:val="007F097A"/>
    <w:rsid w:val="0081167E"/>
    <w:rsid w:val="008122D6"/>
    <w:rsid w:val="00820027"/>
    <w:rsid w:val="008271A0"/>
    <w:rsid w:val="00841CEE"/>
    <w:rsid w:val="00847587"/>
    <w:rsid w:val="008762C2"/>
    <w:rsid w:val="00885D1C"/>
    <w:rsid w:val="00892A97"/>
    <w:rsid w:val="0089450F"/>
    <w:rsid w:val="00896D53"/>
    <w:rsid w:val="0089787B"/>
    <w:rsid w:val="008A051B"/>
    <w:rsid w:val="008A1335"/>
    <w:rsid w:val="008B5048"/>
    <w:rsid w:val="008C08F6"/>
    <w:rsid w:val="008C255D"/>
    <w:rsid w:val="008C3396"/>
    <w:rsid w:val="008C3F51"/>
    <w:rsid w:val="008C6C53"/>
    <w:rsid w:val="008D2959"/>
    <w:rsid w:val="008E33D7"/>
    <w:rsid w:val="008F60AF"/>
    <w:rsid w:val="0090122C"/>
    <w:rsid w:val="0091211B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B2287"/>
    <w:rsid w:val="009C0286"/>
    <w:rsid w:val="009C2D37"/>
    <w:rsid w:val="009C558E"/>
    <w:rsid w:val="009D1980"/>
    <w:rsid w:val="009F41A2"/>
    <w:rsid w:val="00A225B1"/>
    <w:rsid w:val="00A323E2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D5F99"/>
    <w:rsid w:val="00AE069F"/>
    <w:rsid w:val="00AF7C82"/>
    <w:rsid w:val="00B121BB"/>
    <w:rsid w:val="00B30825"/>
    <w:rsid w:val="00B43DFA"/>
    <w:rsid w:val="00B50A92"/>
    <w:rsid w:val="00B552CD"/>
    <w:rsid w:val="00B6087B"/>
    <w:rsid w:val="00B65DF8"/>
    <w:rsid w:val="00B66523"/>
    <w:rsid w:val="00B7469F"/>
    <w:rsid w:val="00B777AC"/>
    <w:rsid w:val="00B80E51"/>
    <w:rsid w:val="00B818F4"/>
    <w:rsid w:val="00B8686D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C020E2"/>
    <w:rsid w:val="00C1059B"/>
    <w:rsid w:val="00C10931"/>
    <w:rsid w:val="00C14CBF"/>
    <w:rsid w:val="00C16FCD"/>
    <w:rsid w:val="00C23B07"/>
    <w:rsid w:val="00C31769"/>
    <w:rsid w:val="00C36B39"/>
    <w:rsid w:val="00C373F6"/>
    <w:rsid w:val="00C41C02"/>
    <w:rsid w:val="00C543BB"/>
    <w:rsid w:val="00C62DE0"/>
    <w:rsid w:val="00C6652D"/>
    <w:rsid w:val="00C813F6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23988"/>
    <w:rsid w:val="00D2530E"/>
    <w:rsid w:val="00D46A73"/>
    <w:rsid w:val="00D51C7A"/>
    <w:rsid w:val="00D6613F"/>
    <w:rsid w:val="00D6769F"/>
    <w:rsid w:val="00D72FD2"/>
    <w:rsid w:val="00D74082"/>
    <w:rsid w:val="00D760CF"/>
    <w:rsid w:val="00D76CB7"/>
    <w:rsid w:val="00D8085F"/>
    <w:rsid w:val="00D816A8"/>
    <w:rsid w:val="00DA20E0"/>
    <w:rsid w:val="00DB48BA"/>
    <w:rsid w:val="00DB53BE"/>
    <w:rsid w:val="00DE4BC6"/>
    <w:rsid w:val="00E02A44"/>
    <w:rsid w:val="00E20C74"/>
    <w:rsid w:val="00E32136"/>
    <w:rsid w:val="00E35A70"/>
    <w:rsid w:val="00E41963"/>
    <w:rsid w:val="00E450EF"/>
    <w:rsid w:val="00E478E3"/>
    <w:rsid w:val="00E74B6A"/>
    <w:rsid w:val="00E761E2"/>
    <w:rsid w:val="00E80748"/>
    <w:rsid w:val="00E82DC7"/>
    <w:rsid w:val="00E93843"/>
    <w:rsid w:val="00EA7AEC"/>
    <w:rsid w:val="00EE20D2"/>
    <w:rsid w:val="00EF2B69"/>
    <w:rsid w:val="00EF5EFF"/>
    <w:rsid w:val="00F0651B"/>
    <w:rsid w:val="00F11DF8"/>
    <w:rsid w:val="00F33C07"/>
    <w:rsid w:val="00F44E6C"/>
    <w:rsid w:val="00F508F5"/>
    <w:rsid w:val="00F569AD"/>
    <w:rsid w:val="00F569C4"/>
    <w:rsid w:val="00F64172"/>
    <w:rsid w:val="00F72F99"/>
    <w:rsid w:val="00FA0551"/>
    <w:rsid w:val="00FA1EAB"/>
    <w:rsid w:val="00FB0550"/>
    <w:rsid w:val="00FD12F3"/>
    <w:rsid w:val="00FD6A1C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2922</Words>
  <Characters>20430</Characters>
  <Application>Microsoft Office Word</Application>
  <DocSecurity>0</DocSecurity>
  <Lines>170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  <vt:lpstr>Согласно п. 110 Правил организации и проведения закупа лот №6, №9  не состоялся,</vt:lpstr>
      <vt:lpstr/>
    </vt:vector>
  </TitlesOfParts>
  <Company>Home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18</cp:revision>
  <cp:lastPrinted>2017-06-19T05:41:00Z</cp:lastPrinted>
  <dcterms:created xsi:type="dcterms:W3CDTF">2017-09-19T02:57:00Z</dcterms:created>
  <dcterms:modified xsi:type="dcterms:W3CDTF">2017-09-19T08:40:00Z</dcterms:modified>
</cp:coreProperties>
</file>